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D4E64" w14:textId="221C1BA3" w:rsidR="00A75B54" w:rsidRDefault="00ED6976">
      <w:pPr>
        <w:rPr>
          <w:b/>
          <w:bCs/>
          <w:sz w:val="28"/>
          <w:szCs w:val="28"/>
        </w:rPr>
      </w:pPr>
      <w:r w:rsidRPr="00ED6976">
        <w:rPr>
          <w:b/>
          <w:bCs/>
          <w:sz w:val="28"/>
          <w:szCs w:val="28"/>
        </w:rPr>
        <w:t>In This Month’s IMJ May 2021:</w:t>
      </w:r>
    </w:p>
    <w:p w14:paraId="2B5D0E56" w14:textId="2BFBD614" w:rsidR="00ED6976" w:rsidRDefault="00ED6976">
      <w:pPr>
        <w:rPr>
          <w:b/>
          <w:bCs/>
          <w:sz w:val="28"/>
          <w:szCs w:val="28"/>
        </w:rPr>
      </w:pPr>
    </w:p>
    <w:p w14:paraId="77509920" w14:textId="3AF65C57" w:rsidR="00ED6976" w:rsidRDefault="00ED6976">
      <w:pPr>
        <w:rPr>
          <w:sz w:val="28"/>
          <w:szCs w:val="28"/>
        </w:rPr>
      </w:pPr>
      <w:r>
        <w:rPr>
          <w:sz w:val="28"/>
          <w:szCs w:val="28"/>
        </w:rPr>
        <w:t xml:space="preserve">S- 7350 – </w:t>
      </w:r>
      <w:proofErr w:type="spellStart"/>
      <w:r>
        <w:rPr>
          <w:sz w:val="28"/>
          <w:szCs w:val="28"/>
        </w:rPr>
        <w:t>Togher</w:t>
      </w:r>
      <w:proofErr w:type="spellEnd"/>
      <w:r>
        <w:rPr>
          <w:sz w:val="28"/>
          <w:szCs w:val="28"/>
        </w:rPr>
        <w:t xml:space="preserve"> et al</w:t>
      </w:r>
      <w:r w:rsidR="00606018">
        <w:rPr>
          <w:sz w:val="28"/>
          <w:szCs w:val="28"/>
        </w:rPr>
        <w:t xml:space="preserve"> state</w:t>
      </w:r>
      <w:r>
        <w:rPr>
          <w:sz w:val="28"/>
          <w:szCs w:val="28"/>
        </w:rPr>
        <w:t xml:space="preserve"> that the number of weekly neurology consults has increased from 13/week (2007) to 33/week (2018).  The time to being reviewed has reduced from 87 hours to 6 hours.</w:t>
      </w:r>
    </w:p>
    <w:p w14:paraId="6EBB6535" w14:textId="633D4B9D" w:rsidR="00ED6976" w:rsidRDefault="00ED6976">
      <w:pPr>
        <w:rPr>
          <w:sz w:val="28"/>
          <w:szCs w:val="28"/>
        </w:rPr>
      </w:pPr>
      <w:r>
        <w:rPr>
          <w:sz w:val="28"/>
          <w:szCs w:val="28"/>
        </w:rPr>
        <w:t>-----------------------------------Insert Table 1-----------------------------------------</w:t>
      </w:r>
    </w:p>
    <w:p w14:paraId="1AB81C83" w14:textId="252A84D3" w:rsidR="00222AC9" w:rsidRDefault="00222AC9">
      <w:pPr>
        <w:rPr>
          <w:sz w:val="28"/>
          <w:szCs w:val="28"/>
        </w:rPr>
      </w:pPr>
      <w:r>
        <w:rPr>
          <w:sz w:val="28"/>
          <w:szCs w:val="28"/>
        </w:rPr>
        <w:t>Q1. The number of inpatient records consulted was:</w:t>
      </w:r>
    </w:p>
    <w:p w14:paraId="6B3664D9" w14:textId="20982C3B" w:rsidR="00222AC9" w:rsidRDefault="00222AC9" w:rsidP="00222AC9">
      <w:pPr>
        <w:pStyle w:val="ListParagraph"/>
        <w:numPr>
          <w:ilvl w:val="0"/>
          <w:numId w:val="1"/>
        </w:numPr>
        <w:rPr>
          <w:sz w:val="28"/>
          <w:szCs w:val="28"/>
        </w:rPr>
      </w:pPr>
      <w:r>
        <w:rPr>
          <w:sz w:val="28"/>
          <w:szCs w:val="28"/>
        </w:rPr>
        <w:t>14010  b) 14110  c) 14210  d) 14310  e) 14410        Ans b)</w:t>
      </w:r>
    </w:p>
    <w:p w14:paraId="08E59BE5" w14:textId="386F5468" w:rsidR="00222AC9" w:rsidRDefault="00222AC9" w:rsidP="00222AC9">
      <w:pPr>
        <w:rPr>
          <w:sz w:val="28"/>
          <w:szCs w:val="28"/>
        </w:rPr>
      </w:pPr>
      <w:r>
        <w:rPr>
          <w:sz w:val="28"/>
          <w:szCs w:val="28"/>
        </w:rPr>
        <w:t>Q2. The time interval (hours) between referral and the patient being seen in 2007 was:</w:t>
      </w:r>
    </w:p>
    <w:p w14:paraId="4D7C21EA" w14:textId="12E626A8" w:rsidR="00222AC9" w:rsidRDefault="00222AC9" w:rsidP="00222AC9">
      <w:pPr>
        <w:pStyle w:val="ListParagraph"/>
        <w:numPr>
          <w:ilvl w:val="0"/>
          <w:numId w:val="2"/>
        </w:numPr>
        <w:rPr>
          <w:sz w:val="28"/>
          <w:szCs w:val="28"/>
        </w:rPr>
      </w:pPr>
      <w:r>
        <w:rPr>
          <w:sz w:val="28"/>
          <w:szCs w:val="28"/>
        </w:rPr>
        <w:t>81  b) 83  c) 85  d) 87  e) 89             Ans d)</w:t>
      </w:r>
    </w:p>
    <w:p w14:paraId="62DA39E7" w14:textId="77777777" w:rsidR="00222AC9" w:rsidRDefault="00222AC9" w:rsidP="00222AC9">
      <w:pPr>
        <w:rPr>
          <w:sz w:val="28"/>
          <w:szCs w:val="28"/>
        </w:rPr>
      </w:pPr>
      <w:r>
        <w:rPr>
          <w:sz w:val="28"/>
          <w:szCs w:val="28"/>
        </w:rPr>
        <w:t>Q3. The time interval (hours) between referral and the patient being seen in 2018 was:</w:t>
      </w:r>
    </w:p>
    <w:p w14:paraId="4E65C895" w14:textId="77777777" w:rsidR="00222AC9" w:rsidRDefault="00222AC9" w:rsidP="00222AC9">
      <w:pPr>
        <w:pStyle w:val="ListParagraph"/>
        <w:numPr>
          <w:ilvl w:val="0"/>
          <w:numId w:val="3"/>
        </w:numPr>
        <w:rPr>
          <w:sz w:val="28"/>
          <w:szCs w:val="28"/>
        </w:rPr>
      </w:pPr>
      <w:r>
        <w:rPr>
          <w:sz w:val="28"/>
          <w:szCs w:val="28"/>
        </w:rPr>
        <w:t>4  b) 6  c) 8  d) 10  e) 12                Ans b)</w:t>
      </w:r>
    </w:p>
    <w:p w14:paraId="694C7328" w14:textId="77777777" w:rsidR="00222AC9" w:rsidRDefault="00222AC9" w:rsidP="00222AC9">
      <w:pPr>
        <w:rPr>
          <w:sz w:val="28"/>
          <w:szCs w:val="28"/>
        </w:rPr>
      </w:pPr>
      <w:r>
        <w:rPr>
          <w:sz w:val="28"/>
          <w:szCs w:val="28"/>
        </w:rPr>
        <w:t>Q4. The per cent of consults discharged following the neurology review was:</w:t>
      </w:r>
    </w:p>
    <w:p w14:paraId="2801B6E1" w14:textId="77777777" w:rsidR="00222AC9" w:rsidRDefault="00222AC9" w:rsidP="00222AC9">
      <w:pPr>
        <w:pStyle w:val="ListParagraph"/>
        <w:numPr>
          <w:ilvl w:val="0"/>
          <w:numId w:val="4"/>
        </w:numPr>
        <w:rPr>
          <w:sz w:val="28"/>
          <w:szCs w:val="28"/>
        </w:rPr>
      </w:pPr>
      <w:r>
        <w:rPr>
          <w:sz w:val="28"/>
          <w:szCs w:val="28"/>
        </w:rPr>
        <w:t>5%  b) 7%  c) 9%  d) 11%  e) 13%          Ans c)</w:t>
      </w:r>
    </w:p>
    <w:p w14:paraId="4D5D3191" w14:textId="77777777" w:rsidR="00222AC9" w:rsidRDefault="00222AC9" w:rsidP="00222AC9">
      <w:pPr>
        <w:rPr>
          <w:sz w:val="28"/>
          <w:szCs w:val="28"/>
        </w:rPr>
      </w:pPr>
      <w:r>
        <w:rPr>
          <w:sz w:val="28"/>
          <w:szCs w:val="28"/>
        </w:rPr>
        <w:t>Q5. The per cent of referrals from the ED was:</w:t>
      </w:r>
    </w:p>
    <w:p w14:paraId="2265ADAF" w14:textId="38E050D1" w:rsidR="00222AC9" w:rsidRPr="00222AC9" w:rsidRDefault="00222AC9" w:rsidP="00222AC9">
      <w:pPr>
        <w:pStyle w:val="ListParagraph"/>
        <w:numPr>
          <w:ilvl w:val="0"/>
          <w:numId w:val="5"/>
        </w:numPr>
        <w:rPr>
          <w:sz w:val="28"/>
          <w:szCs w:val="28"/>
        </w:rPr>
      </w:pPr>
      <w:r>
        <w:rPr>
          <w:sz w:val="28"/>
          <w:szCs w:val="28"/>
        </w:rPr>
        <w:t>36%  b) 38%  c) 40%  d) 42%  e) 44%       Ans d)</w:t>
      </w:r>
      <w:r w:rsidRPr="00222AC9">
        <w:rPr>
          <w:sz w:val="28"/>
          <w:szCs w:val="28"/>
        </w:rPr>
        <w:t xml:space="preserve"> </w:t>
      </w:r>
    </w:p>
    <w:p w14:paraId="418AAAD0" w14:textId="7FC7D329" w:rsidR="00ED6976" w:rsidRDefault="00ED6976">
      <w:pPr>
        <w:rPr>
          <w:sz w:val="28"/>
          <w:szCs w:val="28"/>
        </w:rPr>
      </w:pPr>
    </w:p>
    <w:p w14:paraId="2FFCD7C9" w14:textId="1AF20A23" w:rsidR="00ED6976" w:rsidRDefault="00ED6976">
      <w:pPr>
        <w:rPr>
          <w:sz w:val="28"/>
          <w:szCs w:val="28"/>
        </w:rPr>
      </w:pPr>
      <w:r>
        <w:rPr>
          <w:sz w:val="28"/>
          <w:szCs w:val="28"/>
        </w:rPr>
        <w:t>S- 7354- Doherty et al report on 24 pregnancies to 11 mothers who are liver transplant recipients.  The outcome in the series was 18 live births and 6 miscarriages.</w:t>
      </w:r>
    </w:p>
    <w:p w14:paraId="527B92B1" w14:textId="15D71508" w:rsidR="00ED6976" w:rsidRDefault="00ED6976">
      <w:pPr>
        <w:rPr>
          <w:sz w:val="28"/>
          <w:szCs w:val="28"/>
        </w:rPr>
      </w:pPr>
      <w:r>
        <w:rPr>
          <w:sz w:val="28"/>
          <w:szCs w:val="28"/>
        </w:rPr>
        <w:t>----------------------------------Insert Table 1--------------------------------------</w:t>
      </w:r>
    </w:p>
    <w:p w14:paraId="108938C5" w14:textId="75D02F16" w:rsidR="00222AC9" w:rsidRDefault="00222AC9">
      <w:pPr>
        <w:rPr>
          <w:sz w:val="28"/>
          <w:szCs w:val="28"/>
        </w:rPr>
      </w:pPr>
      <w:r>
        <w:rPr>
          <w:sz w:val="28"/>
          <w:szCs w:val="28"/>
        </w:rPr>
        <w:t>Q1. The number of patients in the study was:</w:t>
      </w:r>
    </w:p>
    <w:p w14:paraId="4EAB6869" w14:textId="75A5F46C" w:rsidR="00222AC9" w:rsidRDefault="00222AC9" w:rsidP="00222AC9">
      <w:pPr>
        <w:pStyle w:val="ListParagraph"/>
        <w:numPr>
          <w:ilvl w:val="0"/>
          <w:numId w:val="6"/>
        </w:numPr>
        <w:rPr>
          <w:sz w:val="28"/>
          <w:szCs w:val="28"/>
        </w:rPr>
      </w:pPr>
      <w:r>
        <w:rPr>
          <w:sz w:val="28"/>
          <w:szCs w:val="28"/>
        </w:rPr>
        <w:t>5  b) 7  c) 9  d) 11  e) 13            Ans d)</w:t>
      </w:r>
    </w:p>
    <w:p w14:paraId="7A9ECB44" w14:textId="7BA9A4EC" w:rsidR="00222AC9" w:rsidRDefault="00222AC9" w:rsidP="00222AC9">
      <w:pPr>
        <w:rPr>
          <w:sz w:val="28"/>
          <w:szCs w:val="28"/>
        </w:rPr>
      </w:pPr>
      <w:r>
        <w:rPr>
          <w:sz w:val="28"/>
          <w:szCs w:val="28"/>
        </w:rPr>
        <w:t xml:space="preserve">Q2. The number </w:t>
      </w:r>
      <w:r w:rsidR="00EF5499">
        <w:rPr>
          <w:sz w:val="28"/>
          <w:szCs w:val="28"/>
        </w:rPr>
        <w:t>of pregnancies in the study was:</w:t>
      </w:r>
    </w:p>
    <w:p w14:paraId="3628EBCB" w14:textId="49934C8A" w:rsidR="00EF5499" w:rsidRDefault="00EF5499" w:rsidP="00EF5499">
      <w:pPr>
        <w:pStyle w:val="ListParagraph"/>
        <w:numPr>
          <w:ilvl w:val="0"/>
          <w:numId w:val="7"/>
        </w:numPr>
        <w:rPr>
          <w:sz w:val="28"/>
          <w:szCs w:val="28"/>
        </w:rPr>
      </w:pPr>
      <w:r>
        <w:rPr>
          <w:sz w:val="28"/>
          <w:szCs w:val="28"/>
        </w:rPr>
        <w:t>20  b) 22  c) 24  d) 26  e) 28                 Ans c)</w:t>
      </w:r>
    </w:p>
    <w:p w14:paraId="32EC31D6" w14:textId="1496D01C" w:rsidR="00EF5499" w:rsidRDefault="00EF5499" w:rsidP="00EF5499">
      <w:pPr>
        <w:rPr>
          <w:sz w:val="28"/>
          <w:szCs w:val="28"/>
        </w:rPr>
      </w:pPr>
      <w:r>
        <w:rPr>
          <w:sz w:val="28"/>
          <w:szCs w:val="28"/>
        </w:rPr>
        <w:t>Q3. The number of live births was:</w:t>
      </w:r>
    </w:p>
    <w:p w14:paraId="78BA6D54" w14:textId="16817175" w:rsidR="00EF5499" w:rsidRDefault="00EF5499" w:rsidP="00EF5499">
      <w:pPr>
        <w:pStyle w:val="ListParagraph"/>
        <w:numPr>
          <w:ilvl w:val="0"/>
          <w:numId w:val="8"/>
        </w:numPr>
        <w:rPr>
          <w:sz w:val="28"/>
          <w:szCs w:val="28"/>
        </w:rPr>
      </w:pPr>
      <w:r>
        <w:rPr>
          <w:sz w:val="28"/>
          <w:szCs w:val="28"/>
        </w:rPr>
        <w:t>16  b) 18  c) 20  d) 22  e) 24          Ans b)</w:t>
      </w:r>
    </w:p>
    <w:p w14:paraId="7EEA4BAC" w14:textId="15AC4EE6" w:rsidR="00EF5499" w:rsidRDefault="00EF5499" w:rsidP="00EF5499">
      <w:pPr>
        <w:rPr>
          <w:sz w:val="28"/>
          <w:szCs w:val="28"/>
        </w:rPr>
      </w:pPr>
      <w:r>
        <w:rPr>
          <w:sz w:val="28"/>
          <w:szCs w:val="28"/>
        </w:rPr>
        <w:t>Q4. The per cent delivered by caesarean section was:</w:t>
      </w:r>
    </w:p>
    <w:p w14:paraId="0E5B81B5" w14:textId="37E45ED8" w:rsidR="00EF5499" w:rsidRDefault="00EF5499" w:rsidP="00EF5499">
      <w:pPr>
        <w:pStyle w:val="ListParagraph"/>
        <w:numPr>
          <w:ilvl w:val="0"/>
          <w:numId w:val="9"/>
        </w:numPr>
        <w:rPr>
          <w:sz w:val="28"/>
          <w:szCs w:val="28"/>
        </w:rPr>
      </w:pPr>
      <w:r>
        <w:rPr>
          <w:sz w:val="28"/>
          <w:szCs w:val="28"/>
        </w:rPr>
        <w:t>72%  b) 74%  c) 76%  d) 78%  e) 80%    Ans d)</w:t>
      </w:r>
    </w:p>
    <w:p w14:paraId="4F175AB6" w14:textId="56C9A8CB" w:rsidR="00EF5499" w:rsidRDefault="00EF5499" w:rsidP="00EF5499">
      <w:pPr>
        <w:rPr>
          <w:sz w:val="28"/>
          <w:szCs w:val="28"/>
        </w:rPr>
      </w:pPr>
      <w:r>
        <w:rPr>
          <w:sz w:val="28"/>
          <w:szCs w:val="28"/>
        </w:rPr>
        <w:t>Q5.  The median age (years) of the mothers was:</w:t>
      </w:r>
    </w:p>
    <w:p w14:paraId="115D5921" w14:textId="2C3E3BAF" w:rsidR="00EF5499" w:rsidRPr="00EF5499" w:rsidRDefault="00EF5499" w:rsidP="00EF5499">
      <w:pPr>
        <w:pStyle w:val="ListParagraph"/>
        <w:numPr>
          <w:ilvl w:val="0"/>
          <w:numId w:val="10"/>
        </w:numPr>
        <w:rPr>
          <w:sz w:val="28"/>
          <w:szCs w:val="28"/>
        </w:rPr>
      </w:pPr>
      <w:r>
        <w:rPr>
          <w:sz w:val="28"/>
          <w:szCs w:val="28"/>
        </w:rPr>
        <w:t>27.5  b) 29.5  c) 31.5  d) 33.5  e) 35.5         Ans c)</w:t>
      </w:r>
    </w:p>
    <w:p w14:paraId="774E8E6C" w14:textId="1BBAC01F" w:rsidR="00ED6976" w:rsidRDefault="00ED6976">
      <w:pPr>
        <w:rPr>
          <w:sz w:val="28"/>
          <w:szCs w:val="28"/>
        </w:rPr>
      </w:pPr>
    </w:p>
    <w:p w14:paraId="78CE982E" w14:textId="77777777" w:rsidR="00ED6976" w:rsidRDefault="00ED6976">
      <w:pPr>
        <w:rPr>
          <w:sz w:val="28"/>
          <w:szCs w:val="28"/>
        </w:rPr>
      </w:pPr>
      <w:r>
        <w:rPr>
          <w:sz w:val="28"/>
          <w:szCs w:val="28"/>
        </w:rPr>
        <w:t>S- 7367- O’Malley et al found a GDM rate 53.5% among 202 mothers attending for a OGTT.  There was no seasonal variation to the rate.</w:t>
      </w:r>
    </w:p>
    <w:p w14:paraId="45CF61DB" w14:textId="77777777" w:rsidR="00ED6976" w:rsidRDefault="00ED6976">
      <w:pPr>
        <w:rPr>
          <w:sz w:val="28"/>
          <w:szCs w:val="28"/>
        </w:rPr>
      </w:pPr>
      <w:r>
        <w:rPr>
          <w:sz w:val="28"/>
          <w:szCs w:val="28"/>
        </w:rPr>
        <w:t>---------------------------------Insert Table 1----------------------------------------------</w:t>
      </w:r>
    </w:p>
    <w:p w14:paraId="08FE9FD4" w14:textId="77777777" w:rsidR="00ED6976" w:rsidRDefault="00ED6976">
      <w:pPr>
        <w:rPr>
          <w:sz w:val="28"/>
          <w:szCs w:val="28"/>
        </w:rPr>
      </w:pPr>
    </w:p>
    <w:p w14:paraId="64EB9AA7" w14:textId="090006D3" w:rsidR="00ED6976" w:rsidRDefault="00ED6976">
      <w:pPr>
        <w:rPr>
          <w:sz w:val="28"/>
          <w:szCs w:val="28"/>
        </w:rPr>
      </w:pPr>
      <w:r>
        <w:rPr>
          <w:sz w:val="28"/>
          <w:szCs w:val="28"/>
        </w:rPr>
        <w:lastRenderedPageBreak/>
        <w:t>S-738</w:t>
      </w:r>
      <w:r w:rsidR="00606018">
        <w:rPr>
          <w:sz w:val="28"/>
          <w:szCs w:val="28"/>
        </w:rPr>
        <w:t>3</w:t>
      </w:r>
      <w:r>
        <w:rPr>
          <w:sz w:val="28"/>
          <w:szCs w:val="28"/>
        </w:rPr>
        <w:t>- Hannah et al consider the issue of non-attendance for scheduled medical appointments.  Among 1472 endoscopy OPDs, 191 (13%) di</w:t>
      </w:r>
      <w:r w:rsidR="001D7585">
        <w:rPr>
          <w:sz w:val="28"/>
          <w:szCs w:val="28"/>
        </w:rPr>
        <w:t>d</w:t>
      </w:r>
      <w:r>
        <w:rPr>
          <w:sz w:val="28"/>
          <w:szCs w:val="28"/>
        </w:rPr>
        <w:t xml:space="preserve"> not attend.  The authors recommend mandatory confirmations.</w:t>
      </w:r>
    </w:p>
    <w:p w14:paraId="305F1632" w14:textId="77777777" w:rsidR="00ED6976" w:rsidRDefault="00ED6976">
      <w:pPr>
        <w:rPr>
          <w:sz w:val="28"/>
          <w:szCs w:val="28"/>
        </w:rPr>
      </w:pPr>
      <w:r>
        <w:rPr>
          <w:sz w:val="28"/>
          <w:szCs w:val="28"/>
        </w:rPr>
        <w:t>----------------------------------Insert Table 1----------------------------------------</w:t>
      </w:r>
    </w:p>
    <w:p w14:paraId="238FB71D" w14:textId="734EC493" w:rsidR="00197C3A" w:rsidRDefault="00197C3A">
      <w:pPr>
        <w:rPr>
          <w:sz w:val="28"/>
          <w:szCs w:val="28"/>
        </w:rPr>
      </w:pPr>
      <w:r>
        <w:rPr>
          <w:sz w:val="28"/>
          <w:szCs w:val="28"/>
        </w:rPr>
        <w:t>Q1. The number of patients scheduled for OPD endoscopy was:</w:t>
      </w:r>
    </w:p>
    <w:p w14:paraId="2FD82B32" w14:textId="07722B55" w:rsidR="00197C3A" w:rsidRDefault="00197C3A" w:rsidP="00197C3A">
      <w:pPr>
        <w:pStyle w:val="ListParagraph"/>
        <w:numPr>
          <w:ilvl w:val="0"/>
          <w:numId w:val="11"/>
        </w:numPr>
        <w:rPr>
          <w:sz w:val="28"/>
          <w:szCs w:val="28"/>
        </w:rPr>
      </w:pPr>
      <w:r>
        <w:rPr>
          <w:sz w:val="28"/>
          <w:szCs w:val="28"/>
        </w:rPr>
        <w:t>1468  b) 1470  c) 1472  d) 1474  e) 1476            Ans c)</w:t>
      </w:r>
    </w:p>
    <w:p w14:paraId="41F51918" w14:textId="65E4D7E1" w:rsidR="00197C3A" w:rsidRDefault="00197C3A" w:rsidP="00197C3A">
      <w:pPr>
        <w:rPr>
          <w:sz w:val="28"/>
          <w:szCs w:val="28"/>
        </w:rPr>
      </w:pPr>
      <w:r>
        <w:rPr>
          <w:sz w:val="28"/>
          <w:szCs w:val="28"/>
        </w:rPr>
        <w:t>Q2. The per cent non-attendance for left-sided procedures was:</w:t>
      </w:r>
    </w:p>
    <w:p w14:paraId="173ACD8C" w14:textId="138253FC" w:rsidR="00197C3A" w:rsidRDefault="00197C3A" w:rsidP="00197C3A">
      <w:pPr>
        <w:pStyle w:val="ListParagraph"/>
        <w:numPr>
          <w:ilvl w:val="0"/>
          <w:numId w:val="12"/>
        </w:numPr>
        <w:rPr>
          <w:sz w:val="28"/>
          <w:szCs w:val="28"/>
        </w:rPr>
      </w:pPr>
      <w:r>
        <w:rPr>
          <w:sz w:val="28"/>
          <w:szCs w:val="28"/>
        </w:rPr>
        <w:t>24.4%  b) 26.4%  c) 28.4%  d) 30.4%  e) 32.4%          Ans d)</w:t>
      </w:r>
    </w:p>
    <w:p w14:paraId="09DC9DCD" w14:textId="10351C21" w:rsidR="00197C3A" w:rsidRDefault="00197C3A" w:rsidP="00197C3A">
      <w:pPr>
        <w:rPr>
          <w:sz w:val="28"/>
          <w:szCs w:val="28"/>
        </w:rPr>
      </w:pPr>
      <w:r>
        <w:rPr>
          <w:sz w:val="28"/>
          <w:szCs w:val="28"/>
        </w:rPr>
        <w:t>Q3. The overall per cent non-attendance rate was:</w:t>
      </w:r>
    </w:p>
    <w:p w14:paraId="6084D3DC" w14:textId="6EC38063" w:rsidR="00197C3A" w:rsidRDefault="00197C3A" w:rsidP="00197C3A">
      <w:pPr>
        <w:pStyle w:val="ListParagraph"/>
        <w:numPr>
          <w:ilvl w:val="0"/>
          <w:numId w:val="13"/>
        </w:numPr>
        <w:rPr>
          <w:sz w:val="28"/>
          <w:szCs w:val="28"/>
        </w:rPr>
      </w:pPr>
      <w:r>
        <w:rPr>
          <w:sz w:val="28"/>
          <w:szCs w:val="28"/>
        </w:rPr>
        <w:t>10.9%  b) 12.9%  c) 14.9%  d) 16.95  e) 18.9%     Ans b)</w:t>
      </w:r>
    </w:p>
    <w:p w14:paraId="5D213BCA" w14:textId="462A47AD" w:rsidR="00197C3A" w:rsidRDefault="00197C3A" w:rsidP="00197C3A">
      <w:pPr>
        <w:rPr>
          <w:sz w:val="28"/>
          <w:szCs w:val="28"/>
        </w:rPr>
      </w:pPr>
      <w:r>
        <w:rPr>
          <w:sz w:val="28"/>
          <w:szCs w:val="28"/>
        </w:rPr>
        <w:t>Q4. The per cent non-attendance rate in patients under 50 years was:</w:t>
      </w:r>
    </w:p>
    <w:p w14:paraId="5F0CA218" w14:textId="6F084015" w:rsidR="00197C3A" w:rsidRDefault="00197C3A" w:rsidP="00197C3A">
      <w:pPr>
        <w:pStyle w:val="ListParagraph"/>
        <w:numPr>
          <w:ilvl w:val="0"/>
          <w:numId w:val="14"/>
        </w:numPr>
        <w:rPr>
          <w:sz w:val="28"/>
          <w:szCs w:val="28"/>
        </w:rPr>
      </w:pPr>
      <w:r>
        <w:rPr>
          <w:sz w:val="28"/>
          <w:szCs w:val="28"/>
        </w:rPr>
        <w:t>16.6%  b) 18.6%  c) 20.6%  d) 22.6%  e) 24.6%         Ans c)</w:t>
      </w:r>
    </w:p>
    <w:p w14:paraId="2A8F5B91" w14:textId="75D23562" w:rsidR="00197C3A" w:rsidRDefault="00197C3A" w:rsidP="00197C3A">
      <w:pPr>
        <w:rPr>
          <w:sz w:val="28"/>
          <w:szCs w:val="28"/>
        </w:rPr>
      </w:pPr>
      <w:r>
        <w:rPr>
          <w:sz w:val="28"/>
          <w:szCs w:val="28"/>
        </w:rPr>
        <w:t>Q5. The per cent non-attendance among patients without health insurance was:</w:t>
      </w:r>
    </w:p>
    <w:p w14:paraId="1C56D78E" w14:textId="6E7F1493" w:rsidR="00197C3A" w:rsidRPr="00197C3A" w:rsidRDefault="00197C3A" w:rsidP="00197C3A">
      <w:pPr>
        <w:pStyle w:val="ListParagraph"/>
        <w:numPr>
          <w:ilvl w:val="0"/>
          <w:numId w:val="16"/>
        </w:numPr>
        <w:rPr>
          <w:sz w:val="28"/>
          <w:szCs w:val="28"/>
        </w:rPr>
      </w:pPr>
      <w:r>
        <w:rPr>
          <w:sz w:val="28"/>
          <w:szCs w:val="28"/>
        </w:rPr>
        <w:t>7%  b) 9%  c) 11%  d) 13%  e) 15%           Ans e)</w:t>
      </w:r>
    </w:p>
    <w:p w14:paraId="0D814062" w14:textId="77777777" w:rsidR="00ED6976" w:rsidRDefault="00ED6976">
      <w:pPr>
        <w:rPr>
          <w:sz w:val="28"/>
          <w:szCs w:val="28"/>
        </w:rPr>
      </w:pPr>
    </w:p>
    <w:p w14:paraId="0586C4F3" w14:textId="77777777" w:rsidR="00ED6976" w:rsidRDefault="00ED6976">
      <w:pPr>
        <w:rPr>
          <w:sz w:val="28"/>
          <w:szCs w:val="28"/>
        </w:rPr>
      </w:pPr>
      <w:r>
        <w:rPr>
          <w:sz w:val="28"/>
          <w:szCs w:val="28"/>
        </w:rPr>
        <w:t>S- 7490- Gracias et al describe a 48 year old patient who developed a bilateral occipital stroke secondary to abdominal sepsis.  The underlying factors included haemodynamic compromise.</w:t>
      </w:r>
    </w:p>
    <w:p w14:paraId="4E99BE7B" w14:textId="77777777" w:rsidR="00ED6976" w:rsidRDefault="00ED6976">
      <w:pPr>
        <w:rPr>
          <w:sz w:val="28"/>
          <w:szCs w:val="28"/>
        </w:rPr>
      </w:pPr>
      <w:r>
        <w:rPr>
          <w:sz w:val="28"/>
          <w:szCs w:val="28"/>
        </w:rPr>
        <w:t>------------------------Insert Image 1 and Image 2---------------------------</w:t>
      </w:r>
    </w:p>
    <w:p w14:paraId="14CE14FC" w14:textId="77777777" w:rsidR="00ED6976" w:rsidRDefault="00ED6976">
      <w:pPr>
        <w:rPr>
          <w:sz w:val="28"/>
          <w:szCs w:val="28"/>
        </w:rPr>
      </w:pPr>
    </w:p>
    <w:p w14:paraId="1A1521C9" w14:textId="77777777" w:rsidR="00ED6976" w:rsidRDefault="00ED6976">
      <w:pPr>
        <w:rPr>
          <w:sz w:val="28"/>
          <w:szCs w:val="28"/>
        </w:rPr>
      </w:pPr>
      <w:r>
        <w:rPr>
          <w:sz w:val="28"/>
          <w:szCs w:val="28"/>
        </w:rPr>
        <w:t>S- 7512- Nolan et al explored the understanding of nurses and doctors about DNR.  It was found that the respondents were less likely to undertake invasive interventions such as LPs, endoscopy, and central lines.</w:t>
      </w:r>
    </w:p>
    <w:p w14:paraId="3EB0AB6B" w14:textId="77777777" w:rsidR="00ED6976" w:rsidRDefault="00ED6976">
      <w:pPr>
        <w:rPr>
          <w:sz w:val="28"/>
          <w:szCs w:val="28"/>
        </w:rPr>
      </w:pPr>
      <w:r>
        <w:rPr>
          <w:sz w:val="28"/>
          <w:szCs w:val="28"/>
        </w:rPr>
        <w:t>-------------------------------Insert Fig 1-------------------------------------------</w:t>
      </w:r>
    </w:p>
    <w:p w14:paraId="3A5D97EB" w14:textId="77777777" w:rsidR="00ED6976" w:rsidRDefault="00ED6976">
      <w:pPr>
        <w:rPr>
          <w:sz w:val="28"/>
          <w:szCs w:val="28"/>
        </w:rPr>
      </w:pPr>
    </w:p>
    <w:p w14:paraId="3AF90B94" w14:textId="77777777" w:rsidR="00ED6976" w:rsidRDefault="00ED6976">
      <w:pPr>
        <w:rPr>
          <w:sz w:val="28"/>
          <w:szCs w:val="28"/>
        </w:rPr>
      </w:pPr>
      <w:r>
        <w:rPr>
          <w:sz w:val="28"/>
          <w:szCs w:val="28"/>
        </w:rPr>
        <w:t xml:space="preserve">S-7519- </w:t>
      </w:r>
      <w:proofErr w:type="spellStart"/>
      <w:r>
        <w:rPr>
          <w:sz w:val="28"/>
          <w:szCs w:val="28"/>
        </w:rPr>
        <w:t>Eogan</w:t>
      </w:r>
      <w:proofErr w:type="spellEnd"/>
      <w:r>
        <w:rPr>
          <w:sz w:val="28"/>
          <w:szCs w:val="28"/>
        </w:rPr>
        <w:t xml:space="preserve"> et al describe the role of the Dove clinic, which deals with addiction problems in pregnancy.  The attendance rate is 12/1000 pregnancies.  Opioid addiction has become less common, but other addictions have increased.</w:t>
      </w:r>
    </w:p>
    <w:p w14:paraId="5DDA9D61" w14:textId="77777777" w:rsidR="00ED6976" w:rsidRDefault="00ED6976">
      <w:pPr>
        <w:rPr>
          <w:sz w:val="28"/>
          <w:szCs w:val="28"/>
        </w:rPr>
      </w:pPr>
      <w:r>
        <w:rPr>
          <w:sz w:val="28"/>
          <w:szCs w:val="28"/>
        </w:rPr>
        <w:t>-----------------------------------Insert Fig 1------------------------------------------</w:t>
      </w:r>
    </w:p>
    <w:p w14:paraId="4267BD37" w14:textId="77777777" w:rsidR="00ED6976" w:rsidRDefault="00ED6976">
      <w:pPr>
        <w:rPr>
          <w:sz w:val="28"/>
          <w:szCs w:val="28"/>
        </w:rPr>
      </w:pPr>
    </w:p>
    <w:p w14:paraId="30D3E518" w14:textId="77777777" w:rsidR="00ED6976" w:rsidRDefault="00ED6976">
      <w:pPr>
        <w:rPr>
          <w:sz w:val="28"/>
          <w:szCs w:val="28"/>
        </w:rPr>
      </w:pPr>
      <w:r>
        <w:rPr>
          <w:sz w:val="28"/>
          <w:szCs w:val="28"/>
        </w:rPr>
        <w:t>S-7540- Crotty et al describe the management of 12 patients with peritoneal malignancies.  The procedures were complicated by the Covid pandemic, which posed many additional challenges.</w:t>
      </w:r>
    </w:p>
    <w:p w14:paraId="28051E3F" w14:textId="77777777" w:rsidR="00ED6976" w:rsidRDefault="00ED6976">
      <w:pPr>
        <w:rPr>
          <w:sz w:val="28"/>
          <w:szCs w:val="28"/>
        </w:rPr>
      </w:pPr>
      <w:r>
        <w:rPr>
          <w:sz w:val="28"/>
          <w:szCs w:val="28"/>
        </w:rPr>
        <w:t>-----------------------------Insert Fig 1 and Fig 2------------------------------------</w:t>
      </w:r>
    </w:p>
    <w:p w14:paraId="55D2A7F7" w14:textId="77777777" w:rsidR="00ED6976" w:rsidRDefault="00ED6976">
      <w:pPr>
        <w:rPr>
          <w:sz w:val="28"/>
          <w:szCs w:val="28"/>
        </w:rPr>
      </w:pPr>
    </w:p>
    <w:p w14:paraId="40E64157" w14:textId="77777777" w:rsidR="00ED6976" w:rsidRDefault="00ED6976">
      <w:pPr>
        <w:rPr>
          <w:sz w:val="28"/>
          <w:szCs w:val="28"/>
        </w:rPr>
      </w:pPr>
      <w:r>
        <w:rPr>
          <w:sz w:val="28"/>
          <w:szCs w:val="28"/>
        </w:rPr>
        <w:t>S-7552- McCarthy and Dempsey describe a case of carotenaemia in infancy.  The cause was a diet high in pureed vegetables.</w:t>
      </w:r>
    </w:p>
    <w:p w14:paraId="30DD45B8" w14:textId="77777777" w:rsidR="00ED6976" w:rsidRDefault="00ED6976">
      <w:pPr>
        <w:rPr>
          <w:sz w:val="28"/>
          <w:szCs w:val="28"/>
        </w:rPr>
      </w:pPr>
      <w:r>
        <w:rPr>
          <w:sz w:val="28"/>
          <w:szCs w:val="28"/>
        </w:rPr>
        <w:t>-------------------------------------Insert Photo 1 and 2-------------------------</w:t>
      </w:r>
    </w:p>
    <w:p w14:paraId="2AFB11BC" w14:textId="77777777" w:rsidR="00ED6976" w:rsidRDefault="00ED6976">
      <w:pPr>
        <w:rPr>
          <w:sz w:val="28"/>
          <w:szCs w:val="28"/>
        </w:rPr>
      </w:pPr>
    </w:p>
    <w:p w14:paraId="329F2A80" w14:textId="77777777" w:rsidR="00ED6976" w:rsidRDefault="00ED6976">
      <w:pPr>
        <w:rPr>
          <w:sz w:val="28"/>
          <w:szCs w:val="28"/>
        </w:rPr>
      </w:pPr>
      <w:r>
        <w:rPr>
          <w:sz w:val="28"/>
          <w:szCs w:val="28"/>
        </w:rPr>
        <w:t>S-7567- Coughlan et al have assessed the use of LPs in general paediatrics.  Among 104 children, a CSF sample was obtained in 93% of cases.  74% were atraumatic.</w:t>
      </w:r>
    </w:p>
    <w:p w14:paraId="591C3C4D" w14:textId="77777777" w:rsidR="00ED6976" w:rsidRDefault="00ED6976">
      <w:pPr>
        <w:rPr>
          <w:sz w:val="28"/>
          <w:szCs w:val="28"/>
        </w:rPr>
      </w:pPr>
      <w:r>
        <w:rPr>
          <w:sz w:val="28"/>
          <w:szCs w:val="28"/>
        </w:rPr>
        <w:t>-----------------------------------Insert Table 1-----------------------------------------</w:t>
      </w:r>
    </w:p>
    <w:p w14:paraId="24E94A79" w14:textId="77777777" w:rsidR="00ED6976" w:rsidRDefault="00ED6976">
      <w:pPr>
        <w:rPr>
          <w:sz w:val="28"/>
          <w:szCs w:val="28"/>
        </w:rPr>
      </w:pPr>
    </w:p>
    <w:p w14:paraId="00ECA925" w14:textId="77777777" w:rsidR="00ED6976" w:rsidRDefault="00ED6976">
      <w:pPr>
        <w:rPr>
          <w:sz w:val="28"/>
          <w:szCs w:val="28"/>
        </w:rPr>
      </w:pPr>
      <w:r>
        <w:rPr>
          <w:sz w:val="28"/>
          <w:szCs w:val="28"/>
        </w:rPr>
        <w:t xml:space="preserve">S-7586- </w:t>
      </w:r>
      <w:proofErr w:type="spellStart"/>
      <w:r>
        <w:rPr>
          <w:sz w:val="28"/>
          <w:szCs w:val="28"/>
        </w:rPr>
        <w:t>Lynam</w:t>
      </w:r>
      <w:proofErr w:type="spellEnd"/>
      <w:r>
        <w:rPr>
          <w:sz w:val="28"/>
          <w:szCs w:val="28"/>
        </w:rPr>
        <w:t xml:space="preserve"> et al report that among 220 paediatric inpatients, 7(3%)children had Covid19. </w:t>
      </w:r>
    </w:p>
    <w:p w14:paraId="586E2CEA" w14:textId="77777777" w:rsidR="00ED6976" w:rsidRDefault="00ED6976">
      <w:pPr>
        <w:rPr>
          <w:sz w:val="28"/>
          <w:szCs w:val="28"/>
        </w:rPr>
      </w:pPr>
      <w:r>
        <w:rPr>
          <w:sz w:val="28"/>
          <w:szCs w:val="28"/>
        </w:rPr>
        <w:t>------------------------------------Insert Table 1---------------------------------------</w:t>
      </w:r>
    </w:p>
    <w:p w14:paraId="3552F635" w14:textId="77777777" w:rsidR="00ED6976" w:rsidRDefault="00ED6976">
      <w:pPr>
        <w:rPr>
          <w:sz w:val="28"/>
          <w:szCs w:val="28"/>
        </w:rPr>
      </w:pPr>
    </w:p>
    <w:p w14:paraId="16D9D95E" w14:textId="77777777" w:rsidR="00ED6976" w:rsidRDefault="00ED6976">
      <w:pPr>
        <w:rPr>
          <w:sz w:val="28"/>
          <w:szCs w:val="28"/>
        </w:rPr>
      </w:pPr>
      <w:r>
        <w:rPr>
          <w:sz w:val="28"/>
          <w:szCs w:val="28"/>
        </w:rPr>
        <w:t>S-7685- Cassidy et al have assessed the impact of Covid-19 on healthcare professionals caring for patients with interstitial lung disease.  Worry 43% and frustration 43% were the most commonly reported emotions.</w:t>
      </w:r>
    </w:p>
    <w:p w14:paraId="58685968" w14:textId="77777777" w:rsidR="00ED6976" w:rsidRDefault="00ED6976">
      <w:pPr>
        <w:rPr>
          <w:sz w:val="28"/>
          <w:szCs w:val="28"/>
        </w:rPr>
      </w:pPr>
      <w:r>
        <w:rPr>
          <w:sz w:val="28"/>
          <w:szCs w:val="28"/>
        </w:rPr>
        <w:t>------------------------------------Insert Fig 1--------------------------------------------------</w:t>
      </w:r>
    </w:p>
    <w:p w14:paraId="0BE887A6" w14:textId="77777777" w:rsidR="00ED6976" w:rsidRDefault="00ED6976">
      <w:pPr>
        <w:rPr>
          <w:sz w:val="28"/>
          <w:szCs w:val="28"/>
        </w:rPr>
      </w:pPr>
    </w:p>
    <w:p w14:paraId="743C3143" w14:textId="20614B8E" w:rsidR="00ED6976" w:rsidRDefault="00ED6976">
      <w:pPr>
        <w:rPr>
          <w:sz w:val="28"/>
          <w:szCs w:val="28"/>
        </w:rPr>
      </w:pPr>
      <w:r>
        <w:rPr>
          <w:sz w:val="28"/>
          <w:szCs w:val="28"/>
        </w:rPr>
        <w:t>S-7687- McDonnell et al report that during the period Feb 20-Feb21, the paediatric ED attendance decreased by 34 % but the mental health (MH) presentations increased by 8.9%.  In particular, MH presentations increased 52% in July/Aug and 46% in Sept/Dec.  The surges appear to be related to school re-openings.</w:t>
      </w:r>
    </w:p>
    <w:p w14:paraId="4F9C508A" w14:textId="2AA1CEAB" w:rsidR="00ED6976" w:rsidRDefault="00ED6976">
      <w:pPr>
        <w:rPr>
          <w:sz w:val="28"/>
          <w:szCs w:val="28"/>
        </w:rPr>
      </w:pPr>
      <w:r>
        <w:rPr>
          <w:sz w:val="28"/>
          <w:szCs w:val="28"/>
        </w:rPr>
        <w:t>--------------------------------------Insert Table 2-----------------------------------</w:t>
      </w:r>
    </w:p>
    <w:p w14:paraId="1C822FF8" w14:textId="4976F943" w:rsidR="00ED6976" w:rsidRDefault="00ED6976">
      <w:pPr>
        <w:rPr>
          <w:sz w:val="28"/>
          <w:szCs w:val="28"/>
        </w:rPr>
      </w:pPr>
    </w:p>
    <w:p w14:paraId="744553B5" w14:textId="7583819F" w:rsidR="00ED6976" w:rsidRDefault="00ED6976">
      <w:pPr>
        <w:rPr>
          <w:sz w:val="28"/>
          <w:szCs w:val="28"/>
        </w:rPr>
      </w:pPr>
      <w:r>
        <w:rPr>
          <w:sz w:val="28"/>
          <w:szCs w:val="28"/>
        </w:rPr>
        <w:t xml:space="preserve">S-7744- O’Donnell et al report a case of SARS-CoV-2 re-infection in a 40 year old woman.  </w:t>
      </w:r>
    </w:p>
    <w:p w14:paraId="5110A978" w14:textId="037C2298" w:rsidR="00ED6976" w:rsidRDefault="00ED6976">
      <w:pPr>
        <w:rPr>
          <w:sz w:val="28"/>
          <w:szCs w:val="28"/>
        </w:rPr>
      </w:pPr>
      <w:r>
        <w:rPr>
          <w:sz w:val="28"/>
          <w:szCs w:val="28"/>
        </w:rPr>
        <w:t>------------------------------------Insert Table 1-----------------------------------</w:t>
      </w:r>
    </w:p>
    <w:p w14:paraId="4C47C1D0" w14:textId="77E322EC" w:rsidR="00ED6976" w:rsidRDefault="00ED6976">
      <w:pPr>
        <w:rPr>
          <w:sz w:val="28"/>
          <w:szCs w:val="28"/>
        </w:rPr>
      </w:pPr>
    </w:p>
    <w:p w14:paraId="5FBFBA2F" w14:textId="65B908EA" w:rsidR="00ED6976" w:rsidRDefault="00ED6976">
      <w:pPr>
        <w:rPr>
          <w:sz w:val="28"/>
          <w:szCs w:val="28"/>
        </w:rPr>
      </w:pPr>
      <w:r>
        <w:rPr>
          <w:sz w:val="28"/>
          <w:szCs w:val="28"/>
        </w:rPr>
        <w:t>S-7759- Eves et al report a near peer mentoring programme for paediatric NCHDs.  Over a 6 month period there were 66 mentors and 33 mentees.  When surveyed, 89% felt that it could be useful to NCHDs but only 21% felt that it was of personal benefit.</w:t>
      </w:r>
    </w:p>
    <w:p w14:paraId="0697EE33" w14:textId="0D99D14E" w:rsidR="00ED6976" w:rsidRDefault="00ED6976">
      <w:pPr>
        <w:rPr>
          <w:sz w:val="28"/>
          <w:szCs w:val="28"/>
        </w:rPr>
      </w:pPr>
    </w:p>
    <w:p w14:paraId="60FF4858" w14:textId="77777777" w:rsidR="00ED6976" w:rsidRDefault="00ED6976">
      <w:pPr>
        <w:rPr>
          <w:sz w:val="28"/>
          <w:szCs w:val="28"/>
        </w:rPr>
      </w:pPr>
    </w:p>
    <w:p w14:paraId="6669148A" w14:textId="678E021F" w:rsidR="00ED6976" w:rsidRPr="00ED6976" w:rsidRDefault="00ED6976">
      <w:pPr>
        <w:rPr>
          <w:sz w:val="28"/>
          <w:szCs w:val="28"/>
        </w:rPr>
      </w:pPr>
      <w:r>
        <w:rPr>
          <w:sz w:val="28"/>
          <w:szCs w:val="28"/>
        </w:rPr>
        <w:t xml:space="preserve"> </w:t>
      </w:r>
    </w:p>
    <w:p w14:paraId="07C6A8EC" w14:textId="6B4B0940" w:rsidR="00ED6976" w:rsidRDefault="00ED6976">
      <w:pPr>
        <w:rPr>
          <w:sz w:val="28"/>
          <w:szCs w:val="28"/>
        </w:rPr>
      </w:pPr>
    </w:p>
    <w:p w14:paraId="38AEB9D6" w14:textId="77777777" w:rsidR="00ED6976" w:rsidRPr="00ED6976" w:rsidRDefault="00ED6976">
      <w:pPr>
        <w:rPr>
          <w:sz w:val="28"/>
          <w:szCs w:val="28"/>
        </w:rPr>
      </w:pPr>
    </w:p>
    <w:sectPr w:rsidR="00ED6976" w:rsidRPr="00ED697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C229C" w14:textId="77777777" w:rsidR="00851496" w:rsidRDefault="00851496" w:rsidP="00ED6976">
      <w:r>
        <w:separator/>
      </w:r>
    </w:p>
  </w:endnote>
  <w:endnote w:type="continuationSeparator" w:id="0">
    <w:p w14:paraId="07B765F0" w14:textId="77777777" w:rsidR="00851496" w:rsidRDefault="00851496" w:rsidP="00ED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1590289"/>
      <w:docPartObj>
        <w:docPartGallery w:val="Page Numbers (Bottom of Page)"/>
        <w:docPartUnique/>
      </w:docPartObj>
    </w:sdtPr>
    <w:sdtEndPr>
      <w:rPr>
        <w:rStyle w:val="PageNumber"/>
      </w:rPr>
    </w:sdtEndPr>
    <w:sdtContent>
      <w:p w14:paraId="4EF959FE" w14:textId="0C26BD6F" w:rsidR="00ED6976" w:rsidRDefault="00ED6976" w:rsidP="009966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17B7F7" w14:textId="77777777" w:rsidR="00ED6976" w:rsidRDefault="00ED6976" w:rsidP="00ED69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2821292"/>
      <w:docPartObj>
        <w:docPartGallery w:val="Page Numbers (Bottom of Page)"/>
        <w:docPartUnique/>
      </w:docPartObj>
    </w:sdtPr>
    <w:sdtEndPr>
      <w:rPr>
        <w:rStyle w:val="PageNumber"/>
      </w:rPr>
    </w:sdtEndPr>
    <w:sdtContent>
      <w:p w14:paraId="03E634CC" w14:textId="0BAC347A" w:rsidR="00ED6976" w:rsidRDefault="00ED6976" w:rsidP="009966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190E">
          <w:rPr>
            <w:rStyle w:val="PageNumber"/>
            <w:noProof/>
          </w:rPr>
          <w:t>2</w:t>
        </w:r>
        <w:r>
          <w:rPr>
            <w:rStyle w:val="PageNumber"/>
          </w:rPr>
          <w:fldChar w:fldCharType="end"/>
        </w:r>
      </w:p>
    </w:sdtContent>
  </w:sdt>
  <w:p w14:paraId="78879183" w14:textId="77777777" w:rsidR="00ED6976" w:rsidRDefault="00ED6976" w:rsidP="00ED69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8D9AE" w14:textId="77777777" w:rsidR="00851496" w:rsidRDefault="00851496" w:rsidP="00ED6976">
      <w:r>
        <w:separator/>
      </w:r>
    </w:p>
  </w:footnote>
  <w:footnote w:type="continuationSeparator" w:id="0">
    <w:p w14:paraId="6679C856" w14:textId="77777777" w:rsidR="00851496" w:rsidRDefault="00851496" w:rsidP="00ED6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674B"/>
    <w:multiLevelType w:val="hybridMultilevel"/>
    <w:tmpl w:val="5068272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B03FB3"/>
    <w:multiLevelType w:val="hybridMultilevel"/>
    <w:tmpl w:val="BECE8C8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1DF16C4"/>
    <w:multiLevelType w:val="hybridMultilevel"/>
    <w:tmpl w:val="6102295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B576178"/>
    <w:multiLevelType w:val="hybridMultilevel"/>
    <w:tmpl w:val="E28CD89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C9841B5"/>
    <w:multiLevelType w:val="hybridMultilevel"/>
    <w:tmpl w:val="1792C2A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F89240D"/>
    <w:multiLevelType w:val="hybridMultilevel"/>
    <w:tmpl w:val="04DA5DD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C44156"/>
    <w:multiLevelType w:val="hybridMultilevel"/>
    <w:tmpl w:val="A400041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84B18A6"/>
    <w:multiLevelType w:val="hybridMultilevel"/>
    <w:tmpl w:val="ADA0407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9F1761B"/>
    <w:multiLevelType w:val="hybridMultilevel"/>
    <w:tmpl w:val="481843C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C2F620A"/>
    <w:multiLevelType w:val="hybridMultilevel"/>
    <w:tmpl w:val="CE68E53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52E101C"/>
    <w:multiLevelType w:val="hybridMultilevel"/>
    <w:tmpl w:val="8966A50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C2135BD"/>
    <w:multiLevelType w:val="hybridMultilevel"/>
    <w:tmpl w:val="88D8285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2E3924"/>
    <w:multiLevelType w:val="hybridMultilevel"/>
    <w:tmpl w:val="0FF0CA0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3E80EE5"/>
    <w:multiLevelType w:val="hybridMultilevel"/>
    <w:tmpl w:val="800CC26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4CE0C67"/>
    <w:multiLevelType w:val="hybridMultilevel"/>
    <w:tmpl w:val="7E5AB80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F506682"/>
    <w:multiLevelType w:val="hybridMultilevel"/>
    <w:tmpl w:val="3CE8EFDC"/>
    <w:lvl w:ilvl="0" w:tplc="E670FC6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3"/>
  </w:num>
  <w:num w:numId="2">
    <w:abstractNumId w:val="11"/>
  </w:num>
  <w:num w:numId="3">
    <w:abstractNumId w:val="4"/>
  </w:num>
  <w:num w:numId="4">
    <w:abstractNumId w:val="1"/>
  </w:num>
  <w:num w:numId="5">
    <w:abstractNumId w:val="0"/>
  </w:num>
  <w:num w:numId="6">
    <w:abstractNumId w:val="7"/>
  </w:num>
  <w:num w:numId="7">
    <w:abstractNumId w:val="8"/>
  </w:num>
  <w:num w:numId="8">
    <w:abstractNumId w:val="9"/>
  </w:num>
  <w:num w:numId="9">
    <w:abstractNumId w:val="2"/>
  </w:num>
  <w:num w:numId="10">
    <w:abstractNumId w:val="10"/>
  </w:num>
  <w:num w:numId="11">
    <w:abstractNumId w:val="12"/>
  </w:num>
  <w:num w:numId="12">
    <w:abstractNumId w:val="6"/>
  </w:num>
  <w:num w:numId="13">
    <w:abstractNumId w:val="14"/>
  </w:num>
  <w:num w:numId="14">
    <w:abstractNumId w:val="5"/>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76"/>
    <w:rsid w:val="00197C3A"/>
    <w:rsid w:val="001D7585"/>
    <w:rsid w:val="001F69CE"/>
    <w:rsid w:val="00222AC9"/>
    <w:rsid w:val="0042190E"/>
    <w:rsid w:val="00606018"/>
    <w:rsid w:val="00806FF0"/>
    <w:rsid w:val="00851496"/>
    <w:rsid w:val="00B22934"/>
    <w:rsid w:val="00BE5907"/>
    <w:rsid w:val="00BF55CD"/>
    <w:rsid w:val="00D626D1"/>
    <w:rsid w:val="00D70C1E"/>
    <w:rsid w:val="00D7624F"/>
    <w:rsid w:val="00ED6976"/>
    <w:rsid w:val="00EF54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2C80"/>
  <w15:chartTrackingRefBased/>
  <w15:docId w15:val="{BDF3D664-17AB-1E49-B726-9ABBCA78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6976"/>
    <w:pPr>
      <w:tabs>
        <w:tab w:val="center" w:pos="4513"/>
        <w:tab w:val="right" w:pos="9026"/>
      </w:tabs>
    </w:pPr>
  </w:style>
  <w:style w:type="character" w:customStyle="1" w:styleId="FooterChar">
    <w:name w:val="Footer Char"/>
    <w:basedOn w:val="DefaultParagraphFont"/>
    <w:link w:val="Footer"/>
    <w:uiPriority w:val="99"/>
    <w:rsid w:val="00ED6976"/>
  </w:style>
  <w:style w:type="character" w:styleId="PageNumber">
    <w:name w:val="page number"/>
    <w:basedOn w:val="DefaultParagraphFont"/>
    <w:uiPriority w:val="99"/>
    <w:semiHidden/>
    <w:unhideWhenUsed/>
    <w:rsid w:val="00ED6976"/>
  </w:style>
  <w:style w:type="paragraph" w:styleId="ListParagraph">
    <w:name w:val="List Paragraph"/>
    <w:basedOn w:val="Normal"/>
    <w:uiPriority w:val="34"/>
    <w:qFormat/>
    <w:rsid w:val="00222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Murphy</dc:creator>
  <cp:keywords/>
  <dc:description/>
  <cp:lastModifiedBy>John Murphy</cp:lastModifiedBy>
  <cp:revision>2</cp:revision>
  <dcterms:created xsi:type="dcterms:W3CDTF">2021-05-17T17:22:00Z</dcterms:created>
  <dcterms:modified xsi:type="dcterms:W3CDTF">2021-05-17T17:22:00Z</dcterms:modified>
</cp:coreProperties>
</file>